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別記様式４－３５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20.024376pt;width:238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ボ</w:t>
                    <w:tab/>
                    <w:t>ツ</w:t>
                    <w:tab/>
                    <w:t>リ</w:t>
                    <w:tab/>
                    <w:t>ヌ</w:t>
                    <w:tab/>
                    <w:t>ス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72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"/>
        <w:gridCol w:w="4600"/>
        <w:gridCol w:w="4618"/>
        <w:gridCol w:w="105"/>
        <w:gridCol w:w="541"/>
      </w:tblGrid>
      <w:tr>
        <w:trPr>
          <w:trHeight w:val="244" w:hRule="atLeast"/>
        </w:trPr>
        <w:tc>
          <w:tcPr>
            <w:tcW w:w="5107" w:type="dxa"/>
            <w:gridSpan w:val="2"/>
          </w:tcPr>
          <w:p>
            <w:pPr>
              <w:pStyle w:val="TableParagraph"/>
              <w:tabs>
                <w:tab w:pos="1338" w:val="left" w:leader="none"/>
              </w:tabs>
              <w:spacing w:line="222" w:lineRule="exact" w:before="0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618" w:type="dxa"/>
          </w:tcPr>
          <w:p>
            <w:pPr>
              <w:pStyle w:val="TableParagraph"/>
              <w:spacing w:line="215" w:lineRule="exact"/>
              <w:ind w:left="109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5107" w:type="dxa"/>
            <w:gridSpan w:val="2"/>
          </w:tcPr>
          <w:p>
            <w:pPr>
              <w:pStyle w:val="TableParagraph"/>
              <w:spacing w:before="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1)食餌性(食中毒)、2)乳児、</w:t>
            </w:r>
          </w:p>
          <w:p>
            <w:pPr>
              <w:pStyle w:val="TableParagraph"/>
              <w:spacing w:line="215" w:lineRule="exact" w:before="1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3)創傷、4)成人腸管定着、5)不明</w:t>
            </w:r>
          </w:p>
        </w:tc>
        <w:tc>
          <w:tcPr>
            <w:tcW w:w="4618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6"/>
              <w:ind w:left="388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09"/>
              <w:rPr>
                <w:sz w:val="18"/>
              </w:rPr>
            </w:pPr>
            <w:r>
              <w:rPr>
                <w:sz w:val="18"/>
              </w:rPr>
              <w:t>２ 創傷感染（創傷の部位・状況</w:t>
            </w:r>
          </w:p>
          <w:p>
            <w:pPr>
              <w:pStyle w:val="TableParagraph"/>
              <w:spacing w:before="14"/>
              <w:ind w:left="388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09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418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0"/>
              <w:ind w:left="109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0" w:val="left" w:leader="none"/>
                <w:tab w:pos="3064" w:val="left" w:leader="none"/>
              </w:tabs>
              <w:spacing w:before="16"/>
              <w:ind w:left="109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2" w:val="left" w:leader="none"/>
              </w:tabs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7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1" w:hRule="atLeast"/>
        </w:trPr>
        <w:tc>
          <w:tcPr>
            <w:tcW w:w="507" w:type="dxa"/>
          </w:tcPr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90" w:lineRule="atLeast" w:before="0"/>
              <w:ind w:left="170" w:right="144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600" w:type="dxa"/>
          </w:tcPr>
          <w:p>
            <w:pPr>
              <w:pStyle w:val="TableParagraph"/>
              <w:tabs>
                <w:tab w:pos="1749" w:val="left" w:leader="none"/>
              </w:tabs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弛緩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7"/>
                <w:sz w:val="18"/>
              </w:rPr>
              <w:t>・複視</w:t>
            </w:r>
          </w:p>
          <w:p>
            <w:pPr>
              <w:pStyle w:val="TableParagraph"/>
              <w:tabs>
                <w:tab w:pos="1749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眼瞼</w:t>
            </w:r>
            <w:r>
              <w:rPr>
                <w:spacing w:val="-15"/>
                <w:sz w:val="18"/>
              </w:rPr>
              <w:t>下</w:t>
            </w:r>
            <w:r>
              <w:rPr>
                <w:sz w:val="18"/>
              </w:rPr>
              <w:t>垂</w:t>
              <w:tab/>
            </w:r>
            <w:r>
              <w:rPr>
                <w:spacing w:val="-17"/>
                <w:sz w:val="18"/>
              </w:rPr>
              <w:t>・嚥</w:t>
            </w:r>
            <w:r>
              <w:rPr>
                <w:spacing w:val="-15"/>
                <w:sz w:val="18"/>
              </w:rPr>
              <w:t>下</w:t>
            </w:r>
            <w:r>
              <w:rPr>
                <w:spacing w:val="-17"/>
                <w:sz w:val="18"/>
              </w:rPr>
              <w:t>困</w:t>
            </w:r>
            <w:r>
              <w:rPr>
                <w:sz w:val="18"/>
              </w:rPr>
              <w:t>難</w:t>
            </w:r>
          </w:p>
          <w:p>
            <w:pPr>
              <w:pStyle w:val="TableParagraph"/>
              <w:tabs>
                <w:tab w:pos="1749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口</w:t>
            </w:r>
            <w:r>
              <w:rPr>
                <w:sz w:val="18"/>
              </w:rPr>
              <w:t>渇</w:t>
              <w:tab/>
            </w:r>
            <w:r>
              <w:rPr>
                <w:spacing w:val="-17"/>
                <w:sz w:val="18"/>
              </w:rPr>
              <w:t>・便秘</w:t>
            </w:r>
          </w:p>
          <w:p>
            <w:pPr>
              <w:pStyle w:val="TableParagraph"/>
              <w:tabs>
                <w:tab w:pos="1749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筋力</w:t>
            </w:r>
            <w:r>
              <w:rPr>
                <w:spacing w:val="-15"/>
                <w:sz w:val="18"/>
              </w:rPr>
              <w:t>低</w:t>
            </w:r>
            <w:r>
              <w:rPr>
                <w:sz w:val="18"/>
              </w:rPr>
              <w:t>下</w:t>
              <w:tab/>
            </w:r>
            <w:r>
              <w:rPr>
                <w:spacing w:val="-17"/>
                <w:sz w:val="18"/>
              </w:rPr>
              <w:t>・呼</w:t>
            </w:r>
            <w:r>
              <w:rPr>
                <w:spacing w:val="-15"/>
                <w:sz w:val="18"/>
              </w:rPr>
              <w:t>吸</w:t>
            </w:r>
            <w:r>
              <w:rPr>
                <w:spacing w:val="-17"/>
                <w:sz w:val="18"/>
              </w:rPr>
              <w:t>困</w:t>
            </w:r>
            <w:r>
              <w:rPr>
                <w:sz w:val="18"/>
              </w:rPr>
              <w:t>難</w:t>
            </w:r>
          </w:p>
          <w:p>
            <w:pPr>
              <w:pStyle w:val="TableParagraph"/>
              <w:tabs>
                <w:tab w:pos="1749" w:val="left" w:leader="none"/>
              </w:tabs>
              <w:spacing w:line="215" w:lineRule="exact"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な</w:t>
            </w:r>
            <w:r>
              <w:rPr>
                <w:sz w:val="18"/>
              </w:rPr>
              <w:t>し</w:t>
            </w:r>
          </w:p>
        </w:tc>
        <w:tc>
          <w:tcPr>
            <w:tcW w:w="4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507" w:type="dxa"/>
            <w:vMerge w:val="restart"/>
          </w:tcPr>
          <w:p>
            <w:pPr>
              <w:pStyle w:val="TableParagraph"/>
              <w:spacing w:line="228" w:lineRule="exact" w:before="0"/>
              <w:ind w:left="170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70" w:right="144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600" w:type="dxa"/>
            <w:vMerge w:val="restart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・検体から直接のボツリヌス毒素の検出</w:t>
            </w:r>
          </w:p>
          <w:p>
            <w:pPr>
              <w:pStyle w:val="TableParagraph"/>
              <w:spacing w:before="14"/>
              <w:ind w:left="436"/>
              <w:rPr>
                <w:sz w:val="18"/>
              </w:rPr>
            </w:pPr>
            <w:r>
              <w:rPr>
                <w:sz w:val="18"/>
              </w:rPr>
              <w:t>検体：血液・便・吐物・腸内容物・創部の浸出液</w:t>
            </w:r>
          </w:p>
          <w:p>
            <w:pPr>
              <w:pStyle w:val="TableParagraph"/>
              <w:tabs>
                <w:tab w:pos="4046" w:val="left" w:leader="none"/>
              </w:tabs>
              <w:spacing w:before="15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270" w:right="78" w:hanging="168"/>
              <w:rPr>
                <w:sz w:val="18"/>
              </w:rPr>
            </w:pPr>
            <w:r>
              <w:rPr>
                <w:spacing w:val="-23"/>
                <w:sz w:val="18"/>
              </w:rPr>
              <w:t>・分離・同定による病原体の検出、かつ、分離菌における次</w:t>
            </w:r>
            <w:r>
              <w:rPr>
                <w:spacing w:val="-17"/>
                <w:sz w:val="18"/>
              </w:rPr>
              <w:t>の①、②いずれかによるボツリヌス毒素の確認</w:t>
            </w:r>
          </w:p>
          <w:p>
            <w:pPr>
              <w:pStyle w:val="TableParagraph"/>
              <w:spacing w:before="3"/>
              <w:ind w:left="273"/>
              <w:rPr>
                <w:sz w:val="18"/>
              </w:rPr>
            </w:pPr>
            <w:r>
              <w:rPr>
                <w:sz w:val="18"/>
              </w:rPr>
              <w:t>（①毒素産生、②</w:t>
            </w:r>
            <w:r>
              <w:rPr>
                <w:rFonts w:ascii="Arial" w:hAnsi="Arial" w:eastAsia="Arial"/>
                <w:sz w:val="18"/>
              </w:rPr>
              <w:t>PCR </w:t>
            </w:r>
            <w:r>
              <w:rPr>
                <w:sz w:val="18"/>
              </w:rPr>
              <w:t>法による毒素遺伝子）</w:t>
            </w:r>
          </w:p>
          <w:p>
            <w:pPr>
              <w:pStyle w:val="TableParagraph"/>
              <w:tabs>
                <w:tab w:pos="4046" w:val="left" w:leader="none"/>
              </w:tabs>
              <w:spacing w:line="254" w:lineRule="auto" w:before="14"/>
              <w:ind w:left="436" w:right="361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便</w:t>
            </w:r>
            <w:r>
              <w:rPr>
                <w:spacing w:val="-17"/>
                <w:sz w:val="18"/>
              </w:rPr>
              <w:t>・吐</w:t>
            </w:r>
            <w:r>
              <w:rPr>
                <w:spacing w:val="-15"/>
                <w:sz w:val="18"/>
              </w:rPr>
              <w:t>物</w:t>
            </w:r>
            <w:r>
              <w:rPr>
                <w:spacing w:val="-17"/>
                <w:sz w:val="18"/>
              </w:rPr>
              <w:t>・腸</w:t>
            </w:r>
            <w:r>
              <w:rPr>
                <w:spacing w:val="-15"/>
                <w:sz w:val="18"/>
              </w:rPr>
              <w:t>内</w:t>
            </w:r>
            <w:r>
              <w:rPr>
                <w:spacing w:val="-17"/>
                <w:sz w:val="18"/>
              </w:rPr>
              <w:t>容</w:t>
            </w:r>
            <w:r>
              <w:rPr>
                <w:spacing w:val="-15"/>
                <w:sz w:val="18"/>
              </w:rPr>
              <w:t>物</w:t>
            </w:r>
            <w:r>
              <w:rPr>
                <w:spacing w:val="-17"/>
                <w:sz w:val="18"/>
              </w:rPr>
              <w:t>・創</w:t>
            </w:r>
            <w:r>
              <w:rPr>
                <w:spacing w:val="-15"/>
                <w:sz w:val="18"/>
              </w:rPr>
              <w:t>部</w:t>
            </w:r>
            <w:r>
              <w:rPr>
                <w:spacing w:val="-17"/>
                <w:sz w:val="18"/>
              </w:rPr>
              <w:t>の浸</w:t>
            </w:r>
            <w:r>
              <w:rPr>
                <w:spacing w:val="-15"/>
                <w:sz w:val="18"/>
              </w:rPr>
              <w:t>出</w:t>
            </w:r>
            <w:r>
              <w:rPr>
                <w:spacing w:val="-17"/>
                <w:sz w:val="18"/>
              </w:rPr>
              <w:t>液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・原因食品からのボツリヌス毒素の検出</w:t>
            </w:r>
          </w:p>
          <w:p>
            <w:pPr>
              <w:pStyle w:val="TableParagraph"/>
              <w:tabs>
                <w:tab w:pos="3610" w:val="left" w:leader="none"/>
              </w:tabs>
              <w:spacing w:before="14"/>
              <w:ind w:right="361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原</w:t>
            </w:r>
            <w:r>
              <w:rPr>
                <w:spacing w:val="-17"/>
                <w:sz w:val="18"/>
              </w:rPr>
              <w:t>因食</w:t>
            </w:r>
            <w:r>
              <w:rPr>
                <w:spacing w:val="-15"/>
                <w:sz w:val="18"/>
              </w:rPr>
              <w:t>品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5"/>
              <w:ind w:right="36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・ボツリヌス毒素に対する血清抗体の検出（数か月後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spacing w:before="0"/>
              <w:ind w:right="526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52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4"/>
              <w:ind w:right="52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1" w:hRule="atLeast"/>
        </w:trPr>
        <w:tc>
          <w:tcPr>
            <w:tcW w:w="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2" w:right="171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6" w:hRule="atLeast"/>
        </w:trPr>
        <w:tc>
          <w:tcPr>
            <w:tcW w:w="5107" w:type="dxa"/>
            <w:gridSpan w:val="2"/>
            <w:vMerge w:val="restart"/>
          </w:tcPr>
          <w:p>
            <w:pPr>
              <w:pStyle w:val="TableParagraph"/>
              <w:tabs>
                <w:tab w:pos="2897" w:val="left" w:leader="none"/>
              </w:tabs>
              <w:spacing w:line="252" w:lineRule="auto" w:before="0"/>
              <w:ind w:left="107" w:right="375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  <w:p>
            <w:pPr>
              <w:pStyle w:val="TableParagraph"/>
              <w:tabs>
                <w:tab w:pos="2897" w:val="left" w:leader="none"/>
              </w:tabs>
              <w:spacing w:line="215" w:lineRule="exact" w:before="5"/>
              <w:ind w:left="107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日</w:t>
            </w:r>
          </w:p>
        </w:tc>
        <w:tc>
          <w:tcPr>
            <w:tcW w:w="4618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13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9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3" w:hRule="atLeast"/>
        </w:trPr>
        <w:tc>
          <w:tcPr>
            <w:tcW w:w="51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09" w:lineRule="exact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6" w:lineRule="auto" w:before="14"/>
        <w:ind w:left="232" w:right="93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2026-02-09T08:17:20Z</dcterms:created>
  <dcterms:modified xsi:type="dcterms:W3CDTF">2026-02-09T08:17:20Z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